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BA" w:rsidRPr="00A731A3" w:rsidRDefault="00D54CBA" w:rsidP="00D54CBA">
      <w:pPr>
        <w:jc w:val="center"/>
        <w:rPr>
          <w:b/>
          <w:szCs w:val="28"/>
        </w:rPr>
      </w:pPr>
      <w:r w:rsidRPr="00A731A3">
        <w:rPr>
          <w:b/>
          <w:szCs w:val="28"/>
        </w:rPr>
        <w:t xml:space="preserve">ЯНЕГСКОЕ  СЕЛЬСКОЕ  ПОСЕЛЕНИЕ      </w:t>
      </w:r>
    </w:p>
    <w:p w:rsidR="00D54CBA" w:rsidRPr="00A731A3" w:rsidRDefault="00D54CBA" w:rsidP="00D54CBA">
      <w:pPr>
        <w:jc w:val="center"/>
        <w:rPr>
          <w:b/>
          <w:szCs w:val="28"/>
        </w:rPr>
      </w:pPr>
      <w:r w:rsidRPr="00A731A3">
        <w:rPr>
          <w:b/>
          <w:szCs w:val="28"/>
        </w:rPr>
        <w:t>ЛОДЕЙНОПОЛЬСКОГО МУНИЦИПАЛЬНОГО РАЙОНА</w:t>
      </w:r>
    </w:p>
    <w:p w:rsidR="00D54CBA" w:rsidRPr="00A731A3" w:rsidRDefault="00D54CBA" w:rsidP="00D54CBA">
      <w:pPr>
        <w:jc w:val="center"/>
        <w:rPr>
          <w:b/>
          <w:szCs w:val="28"/>
        </w:rPr>
      </w:pPr>
      <w:r w:rsidRPr="00A731A3">
        <w:rPr>
          <w:b/>
          <w:szCs w:val="28"/>
        </w:rPr>
        <w:t>ЛЕНИНГРАДСКОЙ ОБЛАСТИ</w:t>
      </w:r>
    </w:p>
    <w:p w:rsidR="00D54CBA" w:rsidRPr="00A731A3" w:rsidRDefault="00D54CBA" w:rsidP="00D54CBA">
      <w:pPr>
        <w:jc w:val="center"/>
        <w:rPr>
          <w:szCs w:val="28"/>
        </w:rPr>
      </w:pPr>
    </w:p>
    <w:p w:rsidR="00D54CBA" w:rsidRPr="00A731A3" w:rsidRDefault="00D54CBA" w:rsidP="00D54CBA">
      <w:pPr>
        <w:jc w:val="center"/>
        <w:rPr>
          <w:b/>
          <w:szCs w:val="28"/>
        </w:rPr>
      </w:pPr>
      <w:r w:rsidRPr="00A731A3">
        <w:rPr>
          <w:b/>
          <w:szCs w:val="28"/>
        </w:rPr>
        <w:t>СОВЕТ ДЕПУТАТОВ</w:t>
      </w:r>
    </w:p>
    <w:p w:rsidR="00B335DA" w:rsidRPr="002421EE" w:rsidRDefault="00B335DA" w:rsidP="00B335DA">
      <w:pPr>
        <w:pStyle w:val="a8"/>
        <w:spacing w:after="0"/>
        <w:ind w:left="0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>сорок первое</w:t>
      </w:r>
      <w:r w:rsidRPr="002421EE">
        <w:rPr>
          <w:b/>
          <w:bCs/>
          <w:sz w:val="28"/>
          <w:szCs w:val="28"/>
        </w:rPr>
        <w:t xml:space="preserve"> (очередное) заседание третьего созыва)</w:t>
      </w:r>
    </w:p>
    <w:p w:rsidR="00D54CBA" w:rsidRPr="007F3EE4" w:rsidRDefault="00D54CBA" w:rsidP="00D54CBA">
      <w:pPr>
        <w:jc w:val="center"/>
      </w:pPr>
    </w:p>
    <w:p w:rsidR="00D54CBA" w:rsidRDefault="00D54CBA" w:rsidP="00D54CBA">
      <w:pPr>
        <w:jc w:val="center"/>
        <w:rPr>
          <w:b/>
          <w:szCs w:val="28"/>
        </w:rPr>
      </w:pPr>
      <w:r w:rsidRPr="00A731A3">
        <w:rPr>
          <w:b/>
          <w:szCs w:val="28"/>
        </w:rPr>
        <w:t>РЕШЕНИЕ</w:t>
      </w:r>
    </w:p>
    <w:p w:rsidR="00B335DA" w:rsidRDefault="00B335DA" w:rsidP="00D54CBA"/>
    <w:p w:rsidR="00D54CBA" w:rsidRDefault="00B335DA" w:rsidP="00D54CBA">
      <w:r>
        <w:t>от 15.11.2018г. № 181</w:t>
      </w:r>
      <w:r w:rsidR="00D54CBA">
        <w:t xml:space="preserve"> </w:t>
      </w:r>
    </w:p>
    <w:p w:rsidR="00D54CBA" w:rsidRDefault="00D54CBA" w:rsidP="00D54CBA"/>
    <w:p w:rsidR="00D54CBA" w:rsidRPr="00E175BB" w:rsidRDefault="00D54CBA" w:rsidP="00D54CBA">
      <w:pPr>
        <w:rPr>
          <w:szCs w:val="28"/>
        </w:rPr>
      </w:pPr>
      <w:r w:rsidRPr="00E175BB">
        <w:rPr>
          <w:szCs w:val="28"/>
        </w:rPr>
        <w:t xml:space="preserve">Об утверждении структуры Администрации </w:t>
      </w:r>
    </w:p>
    <w:p w:rsidR="00D54CBA" w:rsidRDefault="00D54CBA" w:rsidP="00D54CBA">
      <w:pPr>
        <w:rPr>
          <w:szCs w:val="28"/>
        </w:rPr>
      </w:pPr>
      <w:r w:rsidRPr="00E175BB">
        <w:rPr>
          <w:szCs w:val="28"/>
        </w:rPr>
        <w:t xml:space="preserve">Янегского сельского поселения </w:t>
      </w:r>
    </w:p>
    <w:p w:rsidR="00D54CBA" w:rsidRDefault="00D54CBA" w:rsidP="00D54CBA">
      <w:pPr>
        <w:rPr>
          <w:szCs w:val="28"/>
        </w:rPr>
      </w:pPr>
      <w:r w:rsidRPr="00E175BB">
        <w:rPr>
          <w:szCs w:val="28"/>
        </w:rPr>
        <w:t xml:space="preserve">Лодейнопольского муниципального района </w:t>
      </w:r>
    </w:p>
    <w:p w:rsidR="00D54CBA" w:rsidRPr="00E175BB" w:rsidRDefault="00D54CBA" w:rsidP="00D54CBA">
      <w:pPr>
        <w:rPr>
          <w:szCs w:val="28"/>
        </w:rPr>
      </w:pPr>
      <w:r w:rsidRPr="00E175BB">
        <w:rPr>
          <w:szCs w:val="28"/>
        </w:rPr>
        <w:t>Ленинградской области</w:t>
      </w:r>
      <w:r w:rsidR="00B335DA">
        <w:rPr>
          <w:szCs w:val="28"/>
        </w:rPr>
        <w:t xml:space="preserve"> </w:t>
      </w:r>
      <w:r w:rsidRPr="00E175BB">
        <w:rPr>
          <w:szCs w:val="28"/>
        </w:rPr>
        <w:t xml:space="preserve">в новой редакции </w:t>
      </w:r>
    </w:p>
    <w:p w:rsidR="00D54CBA" w:rsidRPr="00E175BB" w:rsidRDefault="00D54CBA" w:rsidP="00D54CBA">
      <w:pPr>
        <w:rPr>
          <w:szCs w:val="28"/>
        </w:rPr>
      </w:pPr>
    </w:p>
    <w:p w:rsidR="00D54CBA" w:rsidRPr="00E175BB" w:rsidRDefault="00D54CBA" w:rsidP="00D54CBA">
      <w:pPr>
        <w:rPr>
          <w:szCs w:val="28"/>
        </w:rPr>
      </w:pPr>
      <w:r w:rsidRPr="00E175BB">
        <w:rPr>
          <w:szCs w:val="28"/>
        </w:rPr>
        <w:t xml:space="preserve">        В соответствии со ст. 49  п.3  Устава </w:t>
      </w:r>
      <w:r>
        <w:rPr>
          <w:szCs w:val="28"/>
        </w:rPr>
        <w:t>Янег</w:t>
      </w:r>
      <w:r w:rsidRPr="00E175BB">
        <w:rPr>
          <w:szCs w:val="28"/>
        </w:rPr>
        <w:t xml:space="preserve">ского сельского поселения Лодейнопольского муниципального района Ленинградской области, Положением  об Администрации </w:t>
      </w:r>
      <w:r>
        <w:rPr>
          <w:szCs w:val="28"/>
        </w:rPr>
        <w:t>Янег</w:t>
      </w:r>
      <w:r w:rsidRPr="00E175BB">
        <w:rPr>
          <w:szCs w:val="28"/>
        </w:rPr>
        <w:t xml:space="preserve">ского сельского поселения Лодейнопольского муниципального района Ленинградской области совет депутатов </w:t>
      </w:r>
      <w:r>
        <w:rPr>
          <w:szCs w:val="28"/>
        </w:rPr>
        <w:t>Янег</w:t>
      </w:r>
      <w:r w:rsidRPr="00E175BB">
        <w:rPr>
          <w:szCs w:val="28"/>
        </w:rPr>
        <w:t>ского сельского поселения Лодейнопольского муниципального района Ленинградской области   решил:</w:t>
      </w:r>
    </w:p>
    <w:p w:rsidR="00D54CBA" w:rsidRPr="00E175BB" w:rsidRDefault="00D54CBA" w:rsidP="008D59B6">
      <w:pPr>
        <w:ind w:firstLine="567"/>
        <w:rPr>
          <w:szCs w:val="28"/>
        </w:rPr>
      </w:pPr>
      <w:r w:rsidRPr="00E175BB">
        <w:rPr>
          <w:szCs w:val="28"/>
        </w:rPr>
        <w:t xml:space="preserve">1.Утвердить структуру Администрации </w:t>
      </w:r>
      <w:r>
        <w:rPr>
          <w:szCs w:val="28"/>
        </w:rPr>
        <w:t>Янег</w:t>
      </w:r>
      <w:r w:rsidRPr="00E175BB">
        <w:rPr>
          <w:szCs w:val="28"/>
        </w:rPr>
        <w:t>ского сельского поселения Лодейнопольского муниципального района Ленинградской области в новой редакции согласно приложению.</w:t>
      </w:r>
    </w:p>
    <w:p w:rsidR="00D54CBA" w:rsidRPr="00E175BB" w:rsidRDefault="008D59B6" w:rsidP="008D59B6">
      <w:pPr>
        <w:ind w:firstLine="567"/>
        <w:rPr>
          <w:szCs w:val="28"/>
        </w:rPr>
      </w:pPr>
      <w:r>
        <w:rPr>
          <w:szCs w:val="28"/>
        </w:rPr>
        <w:t>2.</w:t>
      </w:r>
      <w:r w:rsidR="00D54CBA" w:rsidRPr="00E175BB">
        <w:rPr>
          <w:szCs w:val="28"/>
        </w:rPr>
        <w:t xml:space="preserve">Признать утратившим силу решение совета депутатов от </w:t>
      </w:r>
      <w:r w:rsidR="00D54CBA">
        <w:rPr>
          <w:szCs w:val="28"/>
        </w:rPr>
        <w:t>22.08.2013г. № 204</w:t>
      </w:r>
      <w:r w:rsidR="00D54CBA" w:rsidRPr="00E175BB">
        <w:rPr>
          <w:szCs w:val="28"/>
        </w:rPr>
        <w:t xml:space="preserve"> «Об утверждении структуры Администрации </w:t>
      </w:r>
      <w:r w:rsidR="00D54CBA">
        <w:rPr>
          <w:szCs w:val="28"/>
        </w:rPr>
        <w:t>Янег</w:t>
      </w:r>
      <w:r w:rsidR="00D54CBA" w:rsidRPr="00E175BB">
        <w:rPr>
          <w:szCs w:val="28"/>
        </w:rPr>
        <w:t>ского сельского поселения Лодейнопольского муниципального района Ленинградской области»</w:t>
      </w:r>
    </w:p>
    <w:p w:rsidR="00D54CBA" w:rsidRPr="008D59B6" w:rsidRDefault="008D59B6" w:rsidP="008D59B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4CBA" w:rsidRPr="008D59B6">
        <w:rPr>
          <w:rFonts w:ascii="Times New Roman" w:hAnsi="Times New Roman" w:cs="Times New Roman"/>
          <w:sz w:val="28"/>
          <w:szCs w:val="28"/>
        </w:rPr>
        <w:t>Настоящее решение вступает в силу п</w:t>
      </w:r>
      <w:r w:rsidRPr="008D59B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ле официального опубликования и </w:t>
      </w:r>
      <w:r w:rsidRPr="008D59B6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01.01.2019 года.</w:t>
      </w:r>
    </w:p>
    <w:p w:rsidR="00D54CBA" w:rsidRPr="00E175BB" w:rsidRDefault="008D59B6" w:rsidP="008D59B6">
      <w:pPr>
        <w:ind w:firstLine="567"/>
        <w:rPr>
          <w:szCs w:val="28"/>
        </w:rPr>
      </w:pPr>
      <w:r>
        <w:rPr>
          <w:szCs w:val="28"/>
        </w:rPr>
        <w:t>4.</w:t>
      </w:r>
      <w:r w:rsidR="00D54CBA" w:rsidRPr="00E175BB">
        <w:rPr>
          <w:szCs w:val="28"/>
        </w:rPr>
        <w:t xml:space="preserve">Опубликовать данное решение в средствах массовой информации и разместить на официальном сайте </w:t>
      </w:r>
      <w:r w:rsidR="00D54CBA">
        <w:rPr>
          <w:szCs w:val="28"/>
        </w:rPr>
        <w:t>Администрации Янег</w:t>
      </w:r>
      <w:r w:rsidR="00D54CBA" w:rsidRPr="00E175BB">
        <w:rPr>
          <w:szCs w:val="28"/>
        </w:rPr>
        <w:t>ского сельского поселения.</w:t>
      </w:r>
    </w:p>
    <w:p w:rsidR="00D54CBA" w:rsidRPr="00E175BB" w:rsidRDefault="00D54CBA" w:rsidP="00D54CBA">
      <w:pPr>
        <w:rPr>
          <w:szCs w:val="28"/>
        </w:rPr>
      </w:pPr>
    </w:p>
    <w:p w:rsidR="00D54CBA" w:rsidRPr="000E4EC1" w:rsidRDefault="00D54CBA" w:rsidP="00D54CBA">
      <w:pPr>
        <w:rPr>
          <w:szCs w:val="28"/>
        </w:rPr>
      </w:pPr>
    </w:p>
    <w:p w:rsidR="00D54CBA" w:rsidRDefault="00D54CBA" w:rsidP="00D54CBA">
      <w:pPr>
        <w:jc w:val="center"/>
        <w:rPr>
          <w:szCs w:val="28"/>
        </w:rPr>
      </w:pPr>
      <w:r w:rsidRPr="00A731A3">
        <w:rPr>
          <w:szCs w:val="28"/>
        </w:rPr>
        <w:t>Глава поселения                                                                          Л.В. Чиж</w:t>
      </w:r>
    </w:p>
    <w:p w:rsidR="00B23A0D" w:rsidRDefault="00B23A0D" w:rsidP="00B23A0D">
      <w:pPr>
        <w:rPr>
          <w:b/>
          <w:bCs/>
          <w:color w:val="000000"/>
        </w:rPr>
        <w:sectPr w:rsidR="00B23A0D" w:rsidSect="00766314">
          <w:headerReference w:type="even" r:id="rId7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tbl>
      <w:tblPr>
        <w:tblW w:w="15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4195"/>
        <w:gridCol w:w="3895"/>
        <w:gridCol w:w="3502"/>
        <w:gridCol w:w="3391"/>
      </w:tblGrid>
      <w:tr w:rsidR="00B23A0D" w:rsidTr="005C4AE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  <w:sz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  <w:sz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  <w:sz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B23A0D" w:rsidRPr="008B5A6C" w:rsidRDefault="00B23A0D" w:rsidP="005C4AE1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  <w:sz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23A0D" w:rsidRPr="002D5B3F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>Утверждена</w:t>
            </w:r>
          </w:p>
        </w:tc>
      </w:tr>
      <w:tr w:rsidR="00B23A0D" w:rsidTr="005C4AE1">
        <w:trPr>
          <w:trHeight w:val="15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B23A0D" w:rsidRPr="008B5A6C" w:rsidRDefault="00B23A0D" w:rsidP="005C4AE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>решением совета депутатов</w:t>
            </w:r>
          </w:p>
          <w:p w:rsidR="00B23A0D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Янег</w:t>
            </w:r>
            <w:r w:rsidRPr="002D5B3F">
              <w:rPr>
                <w:bCs/>
                <w:color w:val="000000"/>
                <w:sz w:val="24"/>
                <w:szCs w:val="24"/>
              </w:rPr>
              <w:t xml:space="preserve">ского сельского </w:t>
            </w:r>
          </w:p>
          <w:p w:rsidR="00B23A0D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 xml:space="preserve">поселения Лодейнопольского муниципального района </w:t>
            </w:r>
          </w:p>
          <w:p w:rsidR="00B23A0D" w:rsidRPr="002D5B3F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 xml:space="preserve">Ленинградской области                              от </w:t>
            </w:r>
            <w:r w:rsidR="00B335DA">
              <w:rPr>
                <w:bCs/>
                <w:color w:val="000000"/>
                <w:sz w:val="24"/>
                <w:szCs w:val="24"/>
              </w:rPr>
              <w:t>15.11</w:t>
            </w:r>
            <w:r w:rsidR="00D54CBA">
              <w:rPr>
                <w:bCs/>
                <w:color w:val="000000"/>
                <w:sz w:val="24"/>
                <w:szCs w:val="24"/>
              </w:rPr>
              <w:t>.2018</w:t>
            </w:r>
            <w:r w:rsidRPr="002D5B3F">
              <w:rPr>
                <w:bCs/>
                <w:color w:val="000000"/>
                <w:sz w:val="24"/>
                <w:szCs w:val="24"/>
              </w:rPr>
              <w:t>г. №</w:t>
            </w:r>
            <w:r w:rsidR="00B335DA">
              <w:rPr>
                <w:bCs/>
                <w:color w:val="000000"/>
                <w:sz w:val="24"/>
                <w:szCs w:val="24"/>
              </w:rPr>
              <w:t xml:space="preserve"> 181</w:t>
            </w:r>
          </w:p>
          <w:p w:rsidR="00B23A0D" w:rsidRPr="002D5B3F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>(приложение)</w:t>
            </w:r>
          </w:p>
        </w:tc>
      </w:tr>
    </w:tbl>
    <w:p w:rsidR="00B23A0D" w:rsidRDefault="00B23A0D" w:rsidP="00B23A0D">
      <w:pPr>
        <w:jc w:val="center"/>
        <w:rPr>
          <w:bCs/>
          <w:color w:val="000000"/>
          <w:sz w:val="24"/>
          <w:szCs w:val="24"/>
        </w:rPr>
      </w:pPr>
    </w:p>
    <w:p w:rsidR="00B23A0D" w:rsidRPr="002D5B3F" w:rsidRDefault="00B23A0D" w:rsidP="00B23A0D">
      <w:pPr>
        <w:jc w:val="center"/>
        <w:rPr>
          <w:bCs/>
          <w:color w:val="000000"/>
          <w:szCs w:val="28"/>
        </w:rPr>
      </w:pPr>
      <w:r w:rsidRPr="002D5B3F">
        <w:rPr>
          <w:bCs/>
          <w:color w:val="000000"/>
          <w:szCs w:val="28"/>
        </w:rPr>
        <w:t>СТРУКТУРА</w:t>
      </w:r>
    </w:p>
    <w:p w:rsidR="00B23A0D" w:rsidRPr="002D5B3F" w:rsidRDefault="00B23A0D" w:rsidP="00B23A0D">
      <w:pPr>
        <w:jc w:val="center"/>
        <w:rPr>
          <w:bCs/>
          <w:color w:val="000000"/>
          <w:szCs w:val="28"/>
        </w:rPr>
      </w:pPr>
      <w:r w:rsidRPr="002D5B3F">
        <w:rPr>
          <w:bCs/>
          <w:color w:val="000000"/>
          <w:szCs w:val="28"/>
        </w:rPr>
        <w:t xml:space="preserve">Администрации </w:t>
      </w:r>
      <w:r>
        <w:rPr>
          <w:bCs/>
          <w:color w:val="000000"/>
          <w:szCs w:val="28"/>
        </w:rPr>
        <w:t>Янег</w:t>
      </w:r>
      <w:r w:rsidRPr="002D5B3F">
        <w:rPr>
          <w:bCs/>
          <w:color w:val="000000"/>
          <w:szCs w:val="28"/>
        </w:rPr>
        <w:t>ского сельского поселения</w:t>
      </w:r>
    </w:p>
    <w:p w:rsidR="00B23A0D" w:rsidRPr="002D5B3F" w:rsidRDefault="00B23A0D" w:rsidP="00B23A0D">
      <w:pPr>
        <w:jc w:val="center"/>
        <w:rPr>
          <w:bCs/>
          <w:color w:val="000000"/>
          <w:szCs w:val="28"/>
        </w:rPr>
      </w:pPr>
      <w:r w:rsidRPr="002D5B3F">
        <w:rPr>
          <w:bCs/>
          <w:color w:val="000000"/>
          <w:szCs w:val="28"/>
        </w:rPr>
        <w:t>Лодейнопольского муниципального района Ленинградской области</w:t>
      </w:r>
    </w:p>
    <w:p w:rsidR="00B23A0D" w:rsidRPr="00EC5368" w:rsidRDefault="00B23A0D" w:rsidP="00B23A0D">
      <w:pPr>
        <w:tabs>
          <w:tab w:val="left" w:pos="10965"/>
        </w:tabs>
        <w:rPr>
          <w:sz w:val="24"/>
          <w:szCs w:val="24"/>
        </w:rPr>
      </w:pPr>
    </w:p>
    <w:p w:rsidR="00B23A0D" w:rsidRPr="0075009D" w:rsidRDefault="00B23A0D" w:rsidP="00B23A0D"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textWrapping" w:clear="all"/>
      </w:r>
    </w:p>
    <w:p w:rsidR="00B23A0D" w:rsidRDefault="00B23A0D" w:rsidP="00B23A0D">
      <w:pPr>
        <w:jc w:val="right"/>
      </w:pPr>
    </w:p>
    <w:p w:rsidR="00B23A0D" w:rsidRDefault="00B23A0D" w:rsidP="00B23A0D"/>
    <w:p w:rsidR="00B23A0D" w:rsidRDefault="00ED5D22" w:rsidP="00B23A0D">
      <w:r>
        <w:rPr>
          <w:noProof/>
        </w:rPr>
        <w:pict>
          <v:rect id="_x0000_s1041" style="position:absolute;left:0;text-align:left;margin-left:525.35pt;margin-top:8.35pt;width:174pt;height:46.3pt;z-index:251658240">
            <v:textbox style="mso-next-textbox:#_x0000_s1041">
              <w:txbxContent>
                <w:p w:rsidR="00B23A0D" w:rsidRPr="00E4750C" w:rsidRDefault="00B23A0D" w:rsidP="00B23A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750C">
                    <w:rPr>
                      <w:b/>
                      <w:sz w:val="32"/>
                      <w:szCs w:val="32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B23A0D" w:rsidRDefault="00ED5D22" w:rsidP="00B23A0D">
      <w:pPr>
        <w:tabs>
          <w:tab w:val="left" w:pos="705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35.25pt;margin-top:5.4pt;width:0;height:30pt;z-index:25166643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35.25pt;margin-top:5.4pt;width:390.1pt;height:0;flip:x;z-index:251665408" o:connectortype="straight"/>
        </w:pict>
      </w:r>
      <w:r w:rsidR="00B23A0D">
        <w:tab/>
      </w:r>
    </w:p>
    <w:p w:rsidR="00B23A0D" w:rsidRPr="00B23A0D" w:rsidRDefault="00B23A0D" w:rsidP="00B23A0D"/>
    <w:p w:rsidR="00B23A0D" w:rsidRPr="00B23A0D" w:rsidRDefault="00ED5D22" w:rsidP="00B23A0D">
      <w:r>
        <w:rPr>
          <w:noProof/>
        </w:rPr>
        <w:pict>
          <v:shape id="_x0000_s1057" type="#_x0000_t32" style="position:absolute;left:0;text-align:left;margin-left:610.45pt;margin-top:6.4pt;width:0;height:78.25pt;z-index:251673600" o:connectortype="straight"/>
        </w:pict>
      </w:r>
      <w:r>
        <w:rPr>
          <w:noProof/>
        </w:rPr>
        <w:pict>
          <v:rect id="_x0000_s1042" style="position:absolute;left:0;text-align:left;margin-left:48.85pt;margin-top:3.25pt;width:176.55pt;height:40.7pt;z-index:251659264">
            <v:textbox>
              <w:txbxContent>
                <w:p w:rsidR="00E4750C" w:rsidRDefault="00E4750C">
                  <w: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B23A0D" w:rsidRDefault="00B23A0D" w:rsidP="00B23A0D"/>
    <w:p w:rsidR="00B23A0D" w:rsidRDefault="00ED5D22" w:rsidP="00B23A0D">
      <w:pPr>
        <w:tabs>
          <w:tab w:val="left" w:pos="2667"/>
        </w:tabs>
      </w:pPr>
      <w:r>
        <w:rPr>
          <w:noProof/>
        </w:rPr>
        <w:pict>
          <v:shape id="_x0000_s1053" type="#_x0000_t32" style="position:absolute;left:0;text-align:left;margin-left:130.9pt;margin-top:11.75pt;width:0;height:40.7pt;z-index:251669504" o:connectortype="straight"/>
        </w:pict>
      </w:r>
      <w:r w:rsidR="00B23A0D">
        <w:tab/>
      </w:r>
    </w:p>
    <w:p w:rsidR="00B23A0D" w:rsidRPr="00B23A0D" w:rsidRDefault="00B23A0D" w:rsidP="00B23A0D"/>
    <w:p w:rsidR="00B23A0D" w:rsidRPr="00B23A0D" w:rsidRDefault="00B23A0D" w:rsidP="00B23A0D"/>
    <w:p w:rsidR="00B23A0D" w:rsidRPr="00B23A0D" w:rsidRDefault="00ED5D22" w:rsidP="0021124C">
      <w:pPr>
        <w:tabs>
          <w:tab w:val="left" w:pos="1252"/>
        </w:tabs>
      </w:pPr>
      <w:r>
        <w:rPr>
          <w:noProof/>
        </w:rPr>
        <w:pict>
          <v:shape id="_x0000_s1060" type="#_x0000_t32" style="position:absolute;left:0;text-align:left;margin-left:452.05pt;margin-top:4.15pt;width:0;height:55.1pt;z-index:25167667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130.9pt;margin-top:4.15pt;width:479.55pt;height:0;z-index:251674624" o:connectortype="straight"/>
        </w:pict>
      </w:r>
      <w:r>
        <w:rPr>
          <w:noProof/>
        </w:rPr>
        <w:pict>
          <v:shape id="_x0000_s1064" type="#_x0000_t32" style="position:absolute;left:0;text-align:left;margin-left:186.6pt;margin-top:4.15pt;width:119.6pt;height:0;z-index:251680768" o:connectortype="straight"/>
        </w:pict>
      </w:r>
      <w:r>
        <w:rPr>
          <w:noProof/>
        </w:rPr>
        <w:pict>
          <v:shape id="_x0000_s1059" type="#_x0000_t32" style="position:absolute;left:0;text-align:left;margin-left:306.2pt;margin-top:4.15pt;width:0;height:55.1pt;z-index:251675648" o:connectortype="straight">
            <v:stroke endarrow="block"/>
          </v:shape>
        </w:pict>
      </w:r>
      <w:r w:rsidR="0021124C">
        <w:tab/>
      </w:r>
    </w:p>
    <w:p w:rsidR="00B23A0D" w:rsidRPr="00B23A0D" w:rsidRDefault="00B23A0D" w:rsidP="00B23A0D"/>
    <w:p w:rsidR="00B23A0D" w:rsidRPr="00B23A0D" w:rsidRDefault="00B23A0D" w:rsidP="00B23A0D"/>
    <w:p w:rsidR="00B23A0D" w:rsidRDefault="00ED5D22" w:rsidP="00B23A0D">
      <w:bookmarkStart w:id="0" w:name="_GoBack"/>
      <w:bookmarkEnd w:id="0"/>
      <w:r>
        <w:rPr>
          <w:noProof/>
        </w:rPr>
        <w:pict>
          <v:rect id="_x0000_s1043" style="position:absolute;left:0;text-align:left;margin-left:388.2pt;margin-top:10.95pt;width:127.1pt;height:1in;z-index:251660288">
            <v:textbox>
              <w:txbxContent>
                <w:p w:rsidR="00E4750C" w:rsidRDefault="00E47BB3" w:rsidP="00E47BB3">
                  <w:pPr>
                    <w:jc w:val="center"/>
                  </w:pPr>
                  <w:r>
                    <w:t>Ведущий с</w:t>
                  </w:r>
                  <w:r w:rsidR="00E4750C">
                    <w:t>пециалист по организационной и кадровой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236.05pt;margin-top:10.95pt;width:133.95pt;height:1in;z-index:251668480">
            <v:textbox style="mso-next-textbox:#_x0000_s1052">
              <w:txbxContent>
                <w:p w:rsidR="0021124C" w:rsidRDefault="00E47BB3" w:rsidP="00E47BB3">
                  <w:pPr>
                    <w:ind w:left="-142"/>
                    <w:jc w:val="center"/>
                  </w:pPr>
                  <w:r>
                    <w:t>Ведущий с</w:t>
                  </w:r>
                  <w:r w:rsidR="0021124C">
                    <w:t>пециалист по ЖКХ</w:t>
                  </w:r>
                </w:p>
              </w:txbxContent>
            </v:textbox>
          </v:rect>
        </w:pict>
      </w:r>
    </w:p>
    <w:p w:rsidR="00B23A0D" w:rsidRDefault="00B23A0D" w:rsidP="00E4750C">
      <w:pPr>
        <w:tabs>
          <w:tab w:val="left" w:pos="6449"/>
          <w:tab w:val="left" w:pos="6912"/>
        </w:tabs>
      </w:pPr>
      <w:r>
        <w:tab/>
      </w:r>
      <w:r w:rsidR="00E4750C">
        <w:tab/>
      </w:r>
    </w:p>
    <w:p w:rsidR="00B23A0D" w:rsidRDefault="00ED5D22" w:rsidP="00B23A0D">
      <w:r>
        <w:rPr>
          <w:noProof/>
        </w:rPr>
        <w:pict>
          <v:shape id="_x0000_s1067" type="#_x0000_t32" style="position:absolute;left:0;text-align:left;margin-left:370pt;margin-top:8.3pt;width:17.5pt;height:.05pt;z-index:251683840" o:connectortype="straight">
            <v:stroke startarrow="block" endarrow="block"/>
          </v:shape>
        </w:pict>
      </w:r>
      <w:r>
        <w:rPr>
          <w:noProof/>
        </w:rPr>
        <w:pict>
          <v:shape id="_x0000_s1068" type="#_x0000_t32" style="position:absolute;left:0;text-align:left;margin-left:499.65pt;margin-top:8.2pt;width:0;height:0;z-index:251684864" o:connectortype="straight">
            <v:stroke startarrow="block" endarrow="block"/>
          </v:shape>
        </w:pict>
      </w:r>
    </w:p>
    <w:p w:rsidR="00B23A0D" w:rsidRPr="00B23A0D" w:rsidRDefault="00B23A0D" w:rsidP="00B23A0D">
      <w:pPr>
        <w:tabs>
          <w:tab w:val="left" w:pos="13373"/>
        </w:tabs>
      </w:pPr>
      <w:r>
        <w:tab/>
      </w:r>
    </w:p>
    <w:sectPr w:rsidR="00B23A0D" w:rsidRPr="00B23A0D" w:rsidSect="00D37409">
      <w:pgSz w:w="16840" w:h="11907" w:orient="landscape"/>
      <w:pgMar w:top="709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98" w:rsidRDefault="00F85298" w:rsidP="00470D08">
      <w:r>
        <w:separator/>
      </w:r>
    </w:p>
  </w:endnote>
  <w:endnote w:type="continuationSeparator" w:id="1">
    <w:p w:rsidR="00F85298" w:rsidRDefault="00F85298" w:rsidP="00470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98" w:rsidRDefault="00F85298" w:rsidP="00470D08">
      <w:r>
        <w:separator/>
      </w:r>
    </w:p>
  </w:footnote>
  <w:footnote w:type="continuationSeparator" w:id="1">
    <w:p w:rsidR="00F85298" w:rsidRDefault="00F85298" w:rsidP="00470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6C" w:rsidRDefault="00ED5D22" w:rsidP="00766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A6C" w:rsidRDefault="00F852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A0D"/>
    <w:rsid w:val="000009E7"/>
    <w:rsid w:val="000872E9"/>
    <w:rsid w:val="001404A9"/>
    <w:rsid w:val="0021124C"/>
    <w:rsid w:val="00226F1F"/>
    <w:rsid w:val="00230539"/>
    <w:rsid w:val="0028434B"/>
    <w:rsid w:val="002B0B81"/>
    <w:rsid w:val="002E00E8"/>
    <w:rsid w:val="0032051A"/>
    <w:rsid w:val="00343035"/>
    <w:rsid w:val="00382067"/>
    <w:rsid w:val="003C15D9"/>
    <w:rsid w:val="003D2A89"/>
    <w:rsid w:val="004655B5"/>
    <w:rsid w:val="00470D08"/>
    <w:rsid w:val="004D6DE8"/>
    <w:rsid w:val="004F5887"/>
    <w:rsid w:val="0052418A"/>
    <w:rsid w:val="0059569C"/>
    <w:rsid w:val="007D42ED"/>
    <w:rsid w:val="00827286"/>
    <w:rsid w:val="00840CC7"/>
    <w:rsid w:val="0085530B"/>
    <w:rsid w:val="008D59B6"/>
    <w:rsid w:val="00A249C9"/>
    <w:rsid w:val="00A5799E"/>
    <w:rsid w:val="00AA1200"/>
    <w:rsid w:val="00B23A0D"/>
    <w:rsid w:val="00B335DA"/>
    <w:rsid w:val="00C17A3E"/>
    <w:rsid w:val="00C65A47"/>
    <w:rsid w:val="00D54CBA"/>
    <w:rsid w:val="00E30AED"/>
    <w:rsid w:val="00E4750C"/>
    <w:rsid w:val="00E47BB3"/>
    <w:rsid w:val="00ED5D22"/>
    <w:rsid w:val="00F73313"/>
    <w:rsid w:val="00F85298"/>
    <w:rsid w:val="00F9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9"/>
        <o:r id="V:Rule12" type="connector" idref="#_x0000_s1058"/>
        <o:r id="V:Rule13" type="connector" idref="#_x0000_s1064"/>
        <o:r id="V:Rule14" type="connector" idref="#_x0000_s1059"/>
        <o:r id="V:Rule15" type="connector" idref="#_x0000_s1068"/>
        <o:r id="V:Rule16" type="connector" idref="#_x0000_s1067"/>
        <o:r id="V:Rule17" type="connector" idref="#_x0000_s1060"/>
        <o:r id="V:Rule18" type="connector" idref="#_x0000_s1050"/>
        <o:r id="V:Rule19" type="connector" idref="#_x0000_s1057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27286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86"/>
    <w:rPr>
      <w:rFonts w:ascii="Arial" w:hAnsi="Arial"/>
      <w:b/>
      <w:bCs/>
      <w:sz w:val="32"/>
      <w:szCs w:val="32"/>
    </w:rPr>
  </w:style>
  <w:style w:type="paragraph" w:styleId="a3">
    <w:name w:val="header"/>
    <w:basedOn w:val="a"/>
    <w:link w:val="a4"/>
    <w:rsid w:val="00B23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3A0D"/>
    <w:rPr>
      <w:sz w:val="28"/>
    </w:rPr>
  </w:style>
  <w:style w:type="character" w:styleId="a5">
    <w:name w:val="page number"/>
    <w:basedOn w:val="a0"/>
    <w:rsid w:val="00B23A0D"/>
  </w:style>
  <w:style w:type="paragraph" w:customStyle="1" w:styleId="ConsPlusNormal">
    <w:name w:val="ConsPlusNormal"/>
    <w:rsid w:val="008D59B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47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BB3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B335DA"/>
    <w:pPr>
      <w:spacing w:after="120"/>
      <w:ind w:left="283"/>
      <w:jc w:val="left"/>
    </w:pPr>
    <w:rPr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B335DA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EC69-1C7B-43BF-8939-1D563D72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</cp:lastModifiedBy>
  <cp:revision>5</cp:revision>
  <cp:lastPrinted>2018-11-16T06:37:00Z</cp:lastPrinted>
  <dcterms:created xsi:type="dcterms:W3CDTF">2018-10-25T07:37:00Z</dcterms:created>
  <dcterms:modified xsi:type="dcterms:W3CDTF">2018-11-16T06:37:00Z</dcterms:modified>
</cp:coreProperties>
</file>